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E2" w:rsidRPr="0095482E" w:rsidRDefault="00913EE2" w:rsidP="00913EE2">
      <w:pPr>
        <w:keepNext/>
        <w:spacing w:before="120"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2"/>
          <w:sz w:val="40"/>
          <w:szCs w:val="40"/>
          <w:lang w:eastAsia="da-DK"/>
        </w:rPr>
      </w:pPr>
      <w:r w:rsidRPr="0095482E">
        <w:rPr>
          <w:rFonts w:asciiTheme="majorHAnsi" w:eastAsia="Times New Roman" w:hAnsiTheme="majorHAnsi" w:cs="Times New Roman"/>
          <w:b/>
          <w:bCs/>
          <w:kern w:val="32"/>
          <w:sz w:val="40"/>
          <w:szCs w:val="40"/>
          <w:lang w:eastAsia="da-DK"/>
        </w:rPr>
        <w:t>Den studerendes plan for 2. praktik, inkl. udtalelse</w:t>
      </w:r>
    </w:p>
    <w:p w:rsidR="00913EE2" w:rsidRPr="007E3511" w:rsidRDefault="00A01949" w:rsidP="00913EE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>Revideret udgave 3.10.18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1643"/>
        <w:gridCol w:w="2610"/>
        <w:gridCol w:w="4252"/>
      </w:tblGrid>
      <w:tr w:rsidR="00867566" w:rsidRPr="00F5648F" w:rsidTr="00F5648F">
        <w:trPr>
          <w:trHeight w:val="567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 xml:space="preserve">Praktiksted </w:t>
            </w:r>
          </w:p>
          <w:p w:rsidR="00867566" w:rsidRPr="00F5648F" w:rsidRDefault="00DB3B22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Bofælleskaber </w:t>
            </w:r>
            <w:r w:rsidR="005C5DDD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og </w:t>
            </w:r>
            <w:r w:rsidR="00867566" w:rsidRPr="00F5648F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Værested Herlev kommune</w:t>
            </w:r>
          </w:p>
        </w:tc>
        <w:tc>
          <w:tcPr>
            <w:tcW w:w="6862" w:type="dxa"/>
            <w:gridSpan w:val="2"/>
            <w:shd w:val="clear" w:color="auto" w:fill="auto"/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Studerende</w:t>
            </w: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</w:tc>
      </w:tr>
      <w:tr w:rsidR="00867566" w:rsidRPr="00F5648F" w:rsidTr="00F5648F">
        <w:trPr>
          <w:trHeight w:val="567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tabs>
                <w:tab w:val="center" w:pos="3319"/>
              </w:tabs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Praktikvejleder</w:t>
            </w:r>
          </w:p>
          <w:p w:rsidR="00867566" w:rsidRPr="00F5648F" w:rsidRDefault="00867566" w:rsidP="00F56FD9">
            <w:pPr>
              <w:tabs>
                <w:tab w:val="center" w:pos="3319"/>
              </w:tabs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862" w:type="dxa"/>
            <w:gridSpan w:val="2"/>
            <w:shd w:val="clear" w:color="auto" w:fill="auto"/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Praktikansvarlig underviser</w:t>
            </w:r>
          </w:p>
          <w:p w:rsidR="00F56FD9" w:rsidRPr="00F5648F" w:rsidRDefault="00F56FD9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FD9">
              <w:rPr>
                <w:rFonts w:asciiTheme="majorHAnsi" w:eastAsia="Times New Roman" w:hAnsiTheme="majorHAnsi" w:cs="Times New Roman"/>
                <w:b/>
                <w:sz w:val="28"/>
                <w:szCs w:val="24"/>
                <w:lang w:eastAsia="da-DK"/>
              </w:rPr>
              <w:t>2. praktikperiode – Social- og specialpædagogik</w:t>
            </w: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A. Børn og unge med særlige behov.</w:t>
            </w: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B. Mennesker med sociale vanskeligheder.</w:t>
            </w:r>
          </w:p>
          <w:p w:rsidR="00867566" w:rsidRPr="00F56FD9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F56FD9"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  <w:t>C. Mennesker med psykiske og/eller fysiske funktionsnedsættelser</w:t>
            </w: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 xml:space="preserve">Kompetenceområde: Relation og kommunikation </w:t>
            </w:r>
          </w:p>
          <w:p w:rsidR="00867566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Området retter sig mod pædagogens relationer, professionelle kommunikation og pædagogiske aktiviteter og midler i pædagogisk praksis.</w:t>
            </w:r>
          </w:p>
          <w:p w:rsidR="00F56FD9" w:rsidRPr="00F5648F" w:rsidRDefault="00F56FD9" w:rsidP="00F56FD9">
            <w:pPr>
              <w:spacing w:after="12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  <w:p w:rsidR="00867566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  <w:t>Kompetencemål:</w:t>
            </w: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  <w:p w:rsidR="00F56FD9" w:rsidRPr="00F5648F" w:rsidRDefault="00F56FD9" w:rsidP="00F56FD9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</w:p>
        </w:tc>
      </w:tr>
      <w:tr w:rsidR="00867566" w:rsidRPr="00F5648F" w:rsidTr="00A208A2">
        <w:trPr>
          <w:trHeight w:val="415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12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  <w:t>Vidensmål</w:t>
            </w:r>
            <w:r w:rsidRPr="00F5648F"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  <w:br/>
            </w:r>
            <w:r w:rsidRPr="00F5648F">
              <w:rPr>
                <w:rFonts w:asciiTheme="majorHAnsi" w:eastAsia="Times New Roman" w:hAnsiTheme="majorHAnsi" w:cs="Tahoma"/>
                <w:b/>
                <w:i/>
                <w:sz w:val="24"/>
                <w:szCs w:val="24"/>
                <w:lang w:eastAsia="da-DK"/>
              </w:rPr>
              <w:t>Den studerende har viden om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F5648F" w:rsidRDefault="00867566" w:rsidP="00F56FD9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  <w:t>Færdighedsmål</w:t>
            </w:r>
          </w:p>
          <w:p w:rsidR="00867566" w:rsidRPr="00F5648F" w:rsidRDefault="00867566" w:rsidP="00F56FD9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b/>
                <w:i/>
                <w:sz w:val="24"/>
                <w:szCs w:val="24"/>
                <w:lang w:eastAsia="da-DK"/>
              </w:rPr>
              <w:t>Den studerende kan</w:t>
            </w:r>
          </w:p>
        </w:tc>
        <w:tc>
          <w:tcPr>
            <w:tcW w:w="4253" w:type="dxa"/>
            <w:gridSpan w:val="2"/>
            <w:shd w:val="clear" w:color="auto" w:fill="B8CCE4" w:themeFill="accent1" w:themeFillTint="66"/>
          </w:tcPr>
          <w:p w:rsidR="00867566" w:rsidRPr="00F5648F" w:rsidRDefault="00867566" w:rsidP="00F56FD9">
            <w:pPr>
              <w:spacing w:after="120" w:line="36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F5648F">
              <w:rPr>
                <w:rFonts w:asciiTheme="majorHAnsi" w:hAnsiTheme="majorHAnsi" w:cs="Tahoma"/>
                <w:b/>
                <w:sz w:val="24"/>
                <w:szCs w:val="24"/>
              </w:rPr>
              <w:t xml:space="preserve">Hvordan arbejder praktikstedet med dette? </w:t>
            </w: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F5648F">
              <w:rPr>
                <w:rFonts w:asciiTheme="majorHAnsi" w:hAnsiTheme="majorHAnsi" w:cs="Tahoma"/>
                <w:b/>
                <w:sz w:val="24"/>
                <w:szCs w:val="24"/>
              </w:rPr>
              <w:t>Hvordan kan studerende arbejde med dette på praktikstedet?</w:t>
            </w: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F5648F">
              <w:rPr>
                <w:rFonts w:asciiTheme="majorHAnsi" w:hAnsiTheme="majorHAnsi" w:cs="Tahoma"/>
                <w:b/>
                <w:sz w:val="24"/>
                <w:szCs w:val="24"/>
              </w:rPr>
              <w:t>Hvordan understøtter praktikstedet studerendes læring inden for dette?</w:t>
            </w: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hAnsiTheme="majorHAnsi"/>
                <w:i/>
                <w:sz w:val="24"/>
                <w:szCs w:val="24"/>
              </w:rPr>
              <w:t>(Kopieret fra praktikstedets uddannelsesplan)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  <w:t>Konkretiseringer i relation til den enkelte studerende</w:t>
            </w: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ahoma"/>
                <w:i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i/>
                <w:sz w:val="24"/>
                <w:szCs w:val="24"/>
                <w:lang w:eastAsia="da-DK"/>
              </w:rPr>
              <w:t xml:space="preserve">(Udarbejdes i samarbejde mellem den studerende og praktikvejlederen og drøftes med praktikansvarlig underviser ved 2/3 mødet) </w:t>
            </w: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</w:p>
        </w:tc>
      </w:tr>
      <w:tr w:rsidR="00867566" w:rsidRPr="00F5648F" w:rsidTr="00A208A2">
        <w:trPr>
          <w:trHeight w:val="415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C92439" w:rsidRDefault="00867566" w:rsidP="00F56FD9">
            <w:pPr>
              <w:tabs>
                <w:tab w:val="left" w:pos="3119"/>
              </w:tabs>
              <w:spacing w:before="80" w:after="80" w:line="360" w:lineRule="auto"/>
              <w:ind w:right="-108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Kommunikationsformer og relationsdannelse, herunder om den professionelle samtale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Kommunikere professionelt, etablere og indgå i professionelle relationer til mennesker i udsatte positioner,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90129C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Beboerne i bofællesskabet er funktions- og kommunikationsmæssigt bredt sammensat. Det stilles krav til at den studerende udviser fleksibilitet og omstillingsparathed</w:t>
            </w:r>
            <w:r w:rsidR="0090129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. </w:t>
            </w:r>
          </w:p>
          <w:p w:rsidR="00867566" w:rsidRDefault="0090129C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Derudover forventes det, at den studerende kan </w:t>
            </w:r>
            <w:r w:rsidR="00867566"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overskue </w:t>
            </w:r>
            <w:r w:rsidR="00894B1D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beboernes forskellige </w:t>
            </w:r>
            <w:r w:rsidR="00867566"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behov</w:t>
            </w:r>
            <w:r w:rsidR="00BB639E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samt at den studerede tager udgangspunkt i de ressourcer som den enkelte beboer har. </w:t>
            </w:r>
          </w:p>
          <w:p w:rsidR="00F56FD9" w:rsidRDefault="00F56FD9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  <w:p w:rsidR="00F56FD9" w:rsidRPr="00F5648F" w:rsidRDefault="00F56FD9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I arbejdet med voksne udviklingshæmmede er relations-arbejde</w:t>
            </w:r>
            <w:r w:rsidR="0090129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t en af grundstenene.</w:t>
            </w: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 En god relation skaber også en god motivation.</w:t>
            </w: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Det forventes at den studerende får kendskab til de kommunikationsmetoder, som bruges i bofællesskabet/værestedet</w:t>
            </w:r>
            <w:r w:rsidR="00BB639E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. Det være sig f.eks. anerkendende kommunikation, nonverbal kommunikation m.m. Derudover forventes det, at den studerende udviser forståelse for</w:t>
            </w: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 empati</w:t>
            </w:r>
            <w:r w:rsidR="00BB639E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sk og respektfuld kommunikation, og bruger dette i relationen med beboerne. </w:t>
            </w: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FFFFFF"/>
          </w:tcPr>
          <w:p w:rsidR="00867566" w:rsidRPr="0095482E" w:rsidRDefault="00867566" w:rsidP="0095482E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</w:tc>
      </w:tr>
      <w:tr w:rsidR="00867566" w:rsidRPr="00F5648F" w:rsidTr="00A208A2">
        <w:trPr>
          <w:trHeight w:val="415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 xml:space="preserve">Professionsetik og pædagogiske værdier,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da-DK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90129C" w:rsidRDefault="0090129C" w:rsidP="00F56FD9">
            <w:pPr>
              <w:pStyle w:val="Default"/>
              <w:spacing w:line="360" w:lineRule="auto"/>
              <w:rPr>
                <w:rFonts w:asciiTheme="majorHAnsi" w:hAnsiTheme="majorHAnsi"/>
                <w:iCs/>
                <w:lang w:val="da-DK"/>
              </w:rPr>
            </w:pPr>
            <w:r w:rsidRPr="00F56FD9">
              <w:rPr>
                <w:rFonts w:asciiTheme="majorHAnsi" w:hAnsiTheme="majorHAnsi"/>
                <w:iCs/>
                <w:lang w:val="da-DK"/>
              </w:rPr>
              <w:t>Det er gennem dialogen</w:t>
            </w:r>
            <w:r w:rsidR="00894B1D">
              <w:rPr>
                <w:rFonts w:asciiTheme="majorHAnsi" w:hAnsiTheme="majorHAnsi"/>
                <w:iCs/>
                <w:lang w:val="da-DK"/>
              </w:rPr>
              <w:t xml:space="preserve">, at </w:t>
            </w:r>
            <w:r w:rsidRPr="00F56FD9">
              <w:rPr>
                <w:rFonts w:asciiTheme="majorHAnsi" w:hAnsiTheme="majorHAnsi"/>
                <w:iCs/>
                <w:lang w:val="da-DK"/>
              </w:rPr>
              <w:t xml:space="preserve"> man kan finde en fælles udvej på</w:t>
            </w:r>
            <w:r w:rsidR="00894B1D">
              <w:rPr>
                <w:rFonts w:asciiTheme="majorHAnsi" w:hAnsiTheme="majorHAnsi"/>
                <w:iCs/>
                <w:lang w:val="da-DK"/>
              </w:rPr>
              <w:t xml:space="preserve">, </w:t>
            </w:r>
            <w:r w:rsidRPr="00F56FD9">
              <w:rPr>
                <w:rFonts w:asciiTheme="majorHAnsi" w:hAnsiTheme="majorHAnsi"/>
                <w:iCs/>
                <w:lang w:val="da-DK"/>
              </w:rPr>
              <w:t xml:space="preserve"> at møde de udfordringer dagen kan byde på</w:t>
            </w:r>
            <w:r>
              <w:rPr>
                <w:rFonts w:asciiTheme="majorHAnsi" w:hAnsiTheme="majorHAnsi"/>
                <w:iCs/>
                <w:lang w:val="da-DK"/>
              </w:rPr>
              <w:t>.</w:t>
            </w:r>
          </w:p>
          <w:p w:rsidR="0090129C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iCs/>
                <w:lang w:val="da-DK"/>
              </w:rPr>
            </w:pPr>
            <w:r w:rsidRPr="00F56FD9">
              <w:rPr>
                <w:rFonts w:asciiTheme="majorHAnsi" w:hAnsiTheme="majorHAnsi"/>
                <w:iCs/>
                <w:lang w:val="da-DK"/>
              </w:rPr>
              <w:t xml:space="preserve">Det forventes, at den studerende handler på en måde, som fremmer borgerens lyst og mulighed for at udtrykke sig. </w:t>
            </w:r>
          </w:p>
          <w:p w:rsidR="00E5486D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iCs/>
                <w:lang w:val="da-DK"/>
              </w:rPr>
            </w:pPr>
            <w:r w:rsidRPr="00F56FD9">
              <w:rPr>
                <w:rFonts w:asciiTheme="majorHAnsi" w:hAnsiTheme="majorHAnsi"/>
                <w:iCs/>
                <w:lang w:val="da-DK"/>
              </w:rPr>
              <w:t xml:space="preserve">Dette gælder for såvel verbal som nonverbal kommunikation. </w:t>
            </w:r>
          </w:p>
          <w:p w:rsidR="00E5486D" w:rsidRDefault="00E5486D" w:rsidP="00F56FD9">
            <w:pPr>
              <w:pStyle w:val="Default"/>
              <w:spacing w:line="360" w:lineRule="auto"/>
              <w:rPr>
                <w:rFonts w:asciiTheme="majorHAnsi" w:hAnsiTheme="majorHAnsi"/>
                <w:iCs/>
                <w:lang w:val="da-DK"/>
              </w:rPr>
            </w:pPr>
          </w:p>
          <w:p w:rsidR="00867566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iCs/>
                <w:lang w:val="da-DK"/>
              </w:rPr>
            </w:pPr>
            <w:r w:rsidRPr="00F56FD9">
              <w:rPr>
                <w:rFonts w:asciiTheme="majorHAnsi" w:hAnsiTheme="majorHAnsi"/>
                <w:iCs/>
                <w:lang w:val="da-DK"/>
              </w:rPr>
              <w:t xml:space="preserve">Kommunikation er en balance mellem </w:t>
            </w:r>
            <w:r w:rsidR="00894B1D">
              <w:rPr>
                <w:rFonts w:asciiTheme="majorHAnsi" w:hAnsiTheme="majorHAnsi"/>
                <w:iCs/>
                <w:lang w:val="da-DK"/>
              </w:rPr>
              <w:t xml:space="preserve">: </w:t>
            </w:r>
            <w:r w:rsidRPr="00F56FD9">
              <w:rPr>
                <w:rFonts w:asciiTheme="majorHAnsi" w:hAnsiTheme="majorHAnsi"/>
                <w:iCs/>
                <w:lang w:val="da-DK"/>
              </w:rPr>
              <w:t>på den ene side</w:t>
            </w:r>
            <w:r w:rsidR="00894B1D">
              <w:rPr>
                <w:rFonts w:asciiTheme="majorHAnsi" w:hAnsiTheme="majorHAnsi"/>
                <w:iCs/>
                <w:lang w:val="da-DK"/>
              </w:rPr>
              <w:t>,</w:t>
            </w:r>
            <w:r w:rsidRPr="00F56FD9">
              <w:rPr>
                <w:rFonts w:asciiTheme="majorHAnsi" w:hAnsiTheme="majorHAnsi"/>
                <w:iCs/>
                <w:lang w:val="da-DK"/>
              </w:rPr>
              <w:t xml:space="preserve"> at anerkende borgeren som et selvstændigt menneske med egne ønsker og behov</w:t>
            </w:r>
            <w:r w:rsidR="00894B1D">
              <w:rPr>
                <w:rFonts w:asciiTheme="majorHAnsi" w:hAnsiTheme="majorHAnsi"/>
                <w:iCs/>
                <w:lang w:val="da-DK"/>
              </w:rPr>
              <w:t>.  P</w:t>
            </w:r>
            <w:r w:rsidRPr="00F56FD9">
              <w:rPr>
                <w:rFonts w:asciiTheme="majorHAnsi" w:hAnsiTheme="majorHAnsi"/>
                <w:iCs/>
                <w:lang w:val="da-DK"/>
              </w:rPr>
              <w:t xml:space="preserve">å den anden side, </w:t>
            </w:r>
            <w:r w:rsidR="00894B1D">
              <w:rPr>
                <w:rFonts w:asciiTheme="majorHAnsi" w:hAnsiTheme="majorHAnsi"/>
                <w:iCs/>
                <w:lang w:val="da-DK"/>
              </w:rPr>
              <w:t xml:space="preserve">at </w:t>
            </w:r>
            <w:r w:rsidRPr="00F56FD9">
              <w:rPr>
                <w:rFonts w:asciiTheme="majorHAnsi" w:hAnsiTheme="majorHAnsi"/>
                <w:iCs/>
                <w:lang w:val="da-DK"/>
              </w:rPr>
              <w:t>se borgeren som afhængig af andre mennesker</w:t>
            </w:r>
            <w:r w:rsidR="00894B1D">
              <w:rPr>
                <w:rFonts w:asciiTheme="majorHAnsi" w:hAnsiTheme="majorHAnsi"/>
                <w:iCs/>
                <w:lang w:val="da-DK"/>
              </w:rPr>
              <w:t>,</w:t>
            </w:r>
            <w:r w:rsidRPr="00F56FD9">
              <w:rPr>
                <w:rFonts w:asciiTheme="majorHAnsi" w:hAnsiTheme="majorHAnsi"/>
                <w:iCs/>
                <w:lang w:val="da-DK"/>
              </w:rPr>
              <w:t xml:space="preserve"> og som en del af et fællesskab. Den studerende skal vedvarende være opmærksom på denne balance. </w:t>
            </w:r>
          </w:p>
          <w:p w:rsidR="0095482E" w:rsidRDefault="0095482E" w:rsidP="00F56FD9">
            <w:pPr>
              <w:pStyle w:val="Default"/>
              <w:spacing w:line="360" w:lineRule="auto"/>
              <w:rPr>
                <w:rFonts w:asciiTheme="majorHAnsi" w:hAnsiTheme="majorHAnsi"/>
                <w:iCs/>
                <w:lang w:val="da-DK"/>
              </w:rPr>
            </w:pPr>
          </w:p>
          <w:p w:rsidR="00867566" w:rsidRPr="00F5648F" w:rsidRDefault="0095482E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Bofællesskaberne arbejder ud fra den </w:t>
            </w:r>
            <w:r w:rsidR="0090129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etiske model, som bliver b</w:t>
            </w:r>
            <w:r w:rsidR="00894B1D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rugt i den faglige diskussion på teammøderne.</w:t>
            </w:r>
          </w:p>
        </w:tc>
        <w:tc>
          <w:tcPr>
            <w:tcW w:w="4252" w:type="dxa"/>
            <w:shd w:val="clear" w:color="auto" w:fill="FFFFFF"/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  <w:p w:rsidR="00867566" w:rsidRPr="00F5648F" w:rsidRDefault="00867566" w:rsidP="0095482E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</w:p>
        </w:tc>
      </w:tr>
      <w:tr w:rsidR="00867566" w:rsidRPr="00F5648F" w:rsidTr="00A208A2">
        <w:trPr>
          <w:trHeight w:val="415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Konflikt- og voldsforebyggelse, konfliktnedtrapning og udadreagerende adfærd,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C92439" w:rsidRDefault="00867566" w:rsidP="00F56FD9">
            <w:pPr>
              <w:spacing w:before="80" w:after="80" w:line="360" w:lineRule="auto"/>
              <w:ind w:right="-108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Vurdere konflikter, forebygge og håndtere konflikter samt evaluere indgreb i konflikt- og voldsepisoder,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A41A2A" w:rsidRDefault="00A41A2A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lang w:val="da-DK"/>
              </w:rPr>
              <w:t>Den studerende tilegner sig redskaber, således at han/hun kan agere hensigtsmæssigt ift. evt. konflikter. Det forventes at den studerende er opsøgende ift. relevante metoder som f.eks. konflikt</w:t>
            </w:r>
            <w:r w:rsidR="00894B1D">
              <w:rPr>
                <w:rFonts w:asciiTheme="majorHAnsi" w:hAnsiTheme="majorHAnsi"/>
                <w:lang w:val="da-DK"/>
              </w:rPr>
              <w:t xml:space="preserve"> trappen, low ar</w:t>
            </w:r>
            <w:r>
              <w:rPr>
                <w:rFonts w:asciiTheme="majorHAnsi" w:hAnsiTheme="majorHAnsi"/>
                <w:lang w:val="da-DK"/>
              </w:rPr>
              <w:t>ousal m.m.</w:t>
            </w:r>
          </w:p>
          <w:p w:rsidR="00A41A2A" w:rsidRDefault="00A41A2A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</w:p>
          <w:p w:rsidR="00867566" w:rsidRPr="00F5648F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  <w:r w:rsidRPr="00F5648F">
              <w:rPr>
                <w:rFonts w:asciiTheme="majorHAnsi" w:hAnsiTheme="majorHAnsi"/>
                <w:lang w:val="da-DK"/>
              </w:rPr>
              <w:t xml:space="preserve">Ved uoverensstemmelser mellem borger/borger </w:t>
            </w:r>
            <w:r w:rsidR="00894B1D">
              <w:rPr>
                <w:rFonts w:asciiTheme="majorHAnsi" w:hAnsiTheme="majorHAnsi"/>
                <w:lang w:val="da-DK"/>
              </w:rPr>
              <w:t>eller borger/studerende agerer bo</w:t>
            </w:r>
            <w:r w:rsidRPr="00F5648F">
              <w:rPr>
                <w:rFonts w:asciiTheme="majorHAnsi" w:hAnsiTheme="majorHAnsi"/>
                <w:lang w:val="da-DK"/>
              </w:rPr>
              <w:t xml:space="preserve">fællesskabernes personale som mæglere og sikrer, at situationen bliver håndteret således, at parterne, når de går fra hinanden, stadig har respekten i behold. </w:t>
            </w:r>
          </w:p>
          <w:p w:rsidR="00867566" w:rsidRPr="00F5648F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  <w:r w:rsidRPr="00F5648F">
              <w:rPr>
                <w:rFonts w:asciiTheme="majorHAnsi" w:hAnsiTheme="majorHAnsi"/>
                <w:lang w:val="da-DK"/>
              </w:rPr>
              <w:t xml:space="preserve">Den studerende skal respektere borgerens ret til egne valg. </w:t>
            </w:r>
          </w:p>
          <w:p w:rsidR="00867566" w:rsidRPr="00F5648F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  <w:r w:rsidRPr="00F5648F">
              <w:rPr>
                <w:rFonts w:asciiTheme="majorHAnsi" w:hAnsiTheme="majorHAnsi"/>
                <w:lang w:val="da-DK"/>
              </w:rPr>
              <w:t xml:space="preserve">Ved konflikter forventes det, at den studerende tager udgangspunkt i borgerens formåen, ønsker og behov. </w:t>
            </w:r>
          </w:p>
          <w:p w:rsidR="00867566" w:rsidRDefault="00867566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  <w:r w:rsidRPr="00F5648F">
              <w:rPr>
                <w:rFonts w:asciiTheme="majorHAnsi" w:hAnsiTheme="majorHAnsi"/>
                <w:lang w:val="da-DK"/>
              </w:rPr>
              <w:t xml:space="preserve">Skulle magtanvendelse blive nødvendigt skal gældende retningslinjer </w:t>
            </w:r>
            <w:r w:rsidRPr="00F5648F">
              <w:rPr>
                <w:rFonts w:asciiTheme="majorHAnsi" w:hAnsiTheme="majorHAnsi"/>
                <w:b/>
                <w:bCs/>
                <w:lang w:val="da-DK"/>
              </w:rPr>
              <w:t>altid overholdes</w:t>
            </w:r>
            <w:r w:rsidRPr="00F5648F">
              <w:rPr>
                <w:rFonts w:asciiTheme="majorHAnsi" w:hAnsiTheme="majorHAnsi"/>
                <w:lang w:val="da-DK"/>
              </w:rPr>
              <w:t xml:space="preserve">. </w:t>
            </w:r>
          </w:p>
          <w:p w:rsidR="00E5486D" w:rsidRPr="00F5648F" w:rsidRDefault="00E5486D" w:rsidP="00F56FD9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</w:p>
          <w:p w:rsidR="00867566" w:rsidRPr="00D33B8D" w:rsidRDefault="00894B1D" w:rsidP="00F56FD9">
            <w:pPr>
              <w:spacing w:after="120" w:line="36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D33B8D">
              <w:rPr>
                <w:rFonts w:asciiTheme="majorHAnsi" w:hAnsiTheme="majorHAnsi"/>
                <w:iCs/>
                <w:sz w:val="24"/>
                <w:szCs w:val="24"/>
              </w:rPr>
              <w:t xml:space="preserve">Ved eventuelt </w:t>
            </w:r>
            <w:r w:rsidR="00D33B8D">
              <w:rPr>
                <w:rFonts w:asciiTheme="majorHAnsi" w:hAnsiTheme="majorHAnsi"/>
                <w:iCs/>
                <w:sz w:val="24"/>
                <w:szCs w:val="24"/>
              </w:rPr>
              <w:t>udad reag</w:t>
            </w:r>
            <w:r w:rsidR="00D33B8D" w:rsidRPr="00D33B8D">
              <w:rPr>
                <w:rFonts w:asciiTheme="majorHAnsi" w:hAnsiTheme="majorHAnsi"/>
                <w:iCs/>
                <w:sz w:val="24"/>
                <w:szCs w:val="24"/>
              </w:rPr>
              <w:t>erende</w:t>
            </w:r>
            <w:r w:rsidRPr="00D33B8D">
              <w:rPr>
                <w:rFonts w:asciiTheme="majorHAnsi" w:hAnsiTheme="majorHAnsi"/>
                <w:iCs/>
                <w:sz w:val="24"/>
                <w:szCs w:val="24"/>
              </w:rPr>
              <w:t xml:space="preserve"> adfærd</w:t>
            </w:r>
            <w:r w:rsidR="006D413C" w:rsidRPr="00D33B8D">
              <w:rPr>
                <w:rFonts w:asciiTheme="majorHAnsi" w:hAnsiTheme="majorHAnsi"/>
                <w:iCs/>
                <w:sz w:val="24"/>
                <w:szCs w:val="24"/>
              </w:rPr>
              <w:t>,</w:t>
            </w:r>
            <w:r w:rsidR="00867566" w:rsidRPr="00D33B8D">
              <w:rPr>
                <w:rFonts w:asciiTheme="majorHAnsi" w:hAnsiTheme="majorHAnsi"/>
                <w:iCs/>
                <w:sz w:val="24"/>
                <w:szCs w:val="24"/>
              </w:rPr>
              <w:t xml:space="preserve"> skal der som udgangspunkt altid afsættes tid </w:t>
            </w:r>
            <w:r w:rsidRPr="00D33B8D">
              <w:rPr>
                <w:rFonts w:asciiTheme="majorHAnsi" w:hAnsiTheme="majorHAnsi"/>
                <w:iCs/>
                <w:sz w:val="24"/>
                <w:szCs w:val="24"/>
              </w:rPr>
              <w:t xml:space="preserve">til </w:t>
            </w:r>
            <w:r w:rsidR="00867566" w:rsidRPr="00D33B8D">
              <w:rPr>
                <w:rFonts w:asciiTheme="majorHAnsi" w:hAnsiTheme="majorHAnsi"/>
                <w:iCs/>
                <w:sz w:val="24"/>
                <w:szCs w:val="24"/>
              </w:rPr>
              <w:t>dialog mellem en fra pers</w:t>
            </w:r>
            <w:r w:rsidR="006D413C" w:rsidRPr="00D33B8D">
              <w:rPr>
                <w:rFonts w:asciiTheme="majorHAnsi" w:hAnsiTheme="majorHAnsi"/>
                <w:iCs/>
                <w:sz w:val="24"/>
                <w:szCs w:val="24"/>
              </w:rPr>
              <w:t>onalegruppen og den studerende, samt opfølgning på dette.</w:t>
            </w:r>
          </w:p>
          <w:p w:rsidR="00E5486D" w:rsidRPr="00F5648F" w:rsidRDefault="00E5486D" w:rsidP="00F56FD9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FFFFFF"/>
          </w:tcPr>
          <w:p w:rsidR="00867566" w:rsidRPr="0095482E" w:rsidRDefault="00867566" w:rsidP="0095482E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867566" w:rsidRPr="00F5648F" w:rsidTr="00A208A2">
        <w:trPr>
          <w:trHeight w:val="5123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92439">
              <w:rPr>
                <w:rFonts w:asciiTheme="majorHAnsi" w:hAnsiTheme="majorHAnsi"/>
                <w:b/>
                <w:sz w:val="24"/>
                <w:szCs w:val="24"/>
              </w:rPr>
              <w:t>Bevægelsesmæssige, musiske, æstetiske og kreative processers betydning i den socialpædagogiske praksis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C92439" w:rsidRDefault="00867566" w:rsidP="00F56FD9">
            <w:pPr>
              <w:spacing w:before="80" w:after="80" w:line="360" w:lineRule="auto"/>
              <w:ind w:right="-108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 xml:space="preserve">Tilrettelægge, gennemføre og evaluere pædagogiske aktiviteter inden for udvalgte områder, herunder inddrage børn, unge og voksnes kreativitet og perspektiv 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605675" w:rsidRDefault="006D413C" w:rsidP="00982488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  <w:r>
              <w:rPr>
                <w:rFonts w:asciiTheme="majorHAnsi" w:hAnsiTheme="majorHAnsi"/>
                <w:lang w:val="da-DK"/>
              </w:rPr>
              <w:t xml:space="preserve">Borgergruppen hos </w:t>
            </w:r>
            <w:r w:rsidR="00867566" w:rsidRPr="00F5648F">
              <w:rPr>
                <w:rFonts w:asciiTheme="majorHAnsi" w:hAnsiTheme="majorHAnsi"/>
                <w:lang w:val="da-DK"/>
              </w:rPr>
              <w:t>Bofællesskaberne er funktions- og mobilitetsmæssigt bredt sammensat. Det stiller krav til den studerendes kreativitet og evne til</w:t>
            </w:r>
            <w:r>
              <w:rPr>
                <w:rFonts w:asciiTheme="majorHAnsi" w:hAnsiTheme="majorHAnsi"/>
                <w:lang w:val="da-DK"/>
              </w:rPr>
              <w:t xml:space="preserve">, at </w:t>
            </w:r>
            <w:r w:rsidR="00867566" w:rsidRPr="00F5648F">
              <w:rPr>
                <w:rFonts w:asciiTheme="majorHAnsi" w:hAnsiTheme="majorHAnsi"/>
                <w:lang w:val="da-DK"/>
              </w:rPr>
              <w:t xml:space="preserve"> overskue de forskellige behov og udviklingsmuligheder, som den enkelte borger har. Det kan være lige fra gåture, cykelture (mulighed for grov</w:t>
            </w:r>
            <w:r w:rsidR="00D33B8D">
              <w:rPr>
                <w:rFonts w:asciiTheme="majorHAnsi" w:hAnsiTheme="majorHAnsi"/>
                <w:lang w:val="da-DK"/>
              </w:rPr>
              <w:t xml:space="preserve"> </w:t>
            </w:r>
            <w:r w:rsidR="00867566" w:rsidRPr="00F5648F">
              <w:rPr>
                <w:rFonts w:asciiTheme="majorHAnsi" w:hAnsiTheme="majorHAnsi"/>
                <w:lang w:val="da-DK"/>
              </w:rPr>
              <w:t>motorisk stimulering) og specifik vedligeholdelse af færdigheder og trænin</w:t>
            </w:r>
            <w:r w:rsidR="00982488">
              <w:rPr>
                <w:rFonts w:asciiTheme="majorHAnsi" w:hAnsiTheme="majorHAnsi"/>
                <w:lang w:val="da-DK"/>
              </w:rPr>
              <w:t>g af f.eks.</w:t>
            </w:r>
            <w:r w:rsidR="00867566" w:rsidRPr="00F5648F">
              <w:rPr>
                <w:rFonts w:asciiTheme="majorHAnsi" w:hAnsiTheme="majorHAnsi"/>
                <w:lang w:val="da-DK"/>
              </w:rPr>
              <w:t xml:space="preserve"> muskelstyrke og balance (Bowling og svømning). </w:t>
            </w:r>
          </w:p>
          <w:p w:rsidR="0095482E" w:rsidRDefault="0095482E" w:rsidP="00982488">
            <w:pPr>
              <w:pStyle w:val="Default"/>
              <w:spacing w:line="360" w:lineRule="auto"/>
              <w:rPr>
                <w:rFonts w:asciiTheme="majorHAnsi" w:hAnsiTheme="majorHAnsi"/>
                <w:lang w:val="da-DK"/>
              </w:rPr>
            </w:pPr>
          </w:p>
          <w:p w:rsidR="0095482E" w:rsidRPr="0095482E" w:rsidRDefault="0095482E" w:rsidP="0095482E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Det forventes at den studerende deltager i cykeltræningen</w:t>
            </w:r>
            <w:r w:rsidR="006D413C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om sommeren</w:t>
            </w: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og gå-holdet i vinterhalvåret. </w:t>
            </w:r>
          </w:p>
          <w:p w:rsidR="0095482E" w:rsidRDefault="0095482E" w:rsidP="0095482E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  <w:p w:rsidR="0095482E" w:rsidRPr="0095482E" w:rsidRDefault="0095482E" w:rsidP="006D413C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Desuden forventes det også</w:t>
            </w:r>
            <w:r w:rsidR="006D413C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,</w:t>
            </w: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at den studerende</w:t>
            </w:r>
            <w:r w:rsidR="006D413C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</w:t>
            </w: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vil </w:t>
            </w:r>
            <w:r w:rsidR="006D413C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, </w:t>
            </w: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med vejlederens godkendelse</w:t>
            </w:r>
            <w:r w:rsidR="006D413C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,</w:t>
            </w: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have mulighed for at prøv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e forskellige tiltag/forløb af.</w:t>
            </w:r>
          </w:p>
        </w:tc>
        <w:tc>
          <w:tcPr>
            <w:tcW w:w="4252" w:type="dxa"/>
            <w:shd w:val="clear" w:color="auto" w:fill="FFFFFF"/>
          </w:tcPr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</w:tc>
      </w:tr>
      <w:tr w:rsidR="00867566" w:rsidRPr="00F5648F" w:rsidTr="00A208A2">
        <w:trPr>
          <w:trHeight w:val="415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92439">
              <w:rPr>
                <w:rFonts w:asciiTheme="majorHAnsi" w:hAnsiTheme="majorHAnsi"/>
                <w:b/>
                <w:sz w:val="24"/>
                <w:szCs w:val="24"/>
              </w:rPr>
              <w:t>Hjælpemidler og professionsteknologier i et lærings- og udviklingsperspektiv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eastAsia="Times New Roman" w:hAnsiTheme="majorHAnsi" w:cs="Tahoma"/>
                <w:b/>
                <w:color w:val="000000"/>
                <w:sz w:val="24"/>
                <w:szCs w:val="24"/>
                <w:lang w:eastAsia="da-DK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Vurdere og anvende hjælpemidler og professionsteknologier i samarbejde med mennesker med særlige behov med henblik på at understøtte udvikling og læring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605675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Borgergruppen i Bofællesskaberne er generelt funktionsmæssigt og mobilt velfungerende</w:t>
            </w:r>
            <w:r w:rsidR="006D413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. B</w:t>
            </w: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orgeren </w:t>
            </w:r>
            <w:r w:rsidR="006D413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støttes og vejledes </w:t>
            </w: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stadig </w:t>
            </w:r>
            <w:r w:rsidR="006D413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jvfr.</w:t>
            </w: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l servicelovens §85. </w:t>
            </w:r>
          </w:p>
          <w:p w:rsidR="00867566" w:rsidRPr="00F5648F" w:rsidRDefault="00867566" w:rsidP="00B27C63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Alle borgere har udfordringer på det kognitive plan, hvilket stiller krav til den studerendes evne til at overskue de enkeltes borgers udviklingsmuligheder gennem hjemmevejledningen. </w:t>
            </w:r>
            <w:r w:rsidR="006D413C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 xml:space="preserve">Stort set alle borgere har en mobiltelefon. Cirka ½ </w:t>
            </w:r>
            <w:r w:rsidR="00B27C63"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bruger også tablet. Generelt set, guides og rådgives brugerne i færden på internettet, samt hvad dette kan medføre af muligheder og begrænsninger. Det forventes, at den studerende kan få øje på de dilemmaer og faldgruber der kan ligge i dette.</w:t>
            </w:r>
          </w:p>
        </w:tc>
        <w:tc>
          <w:tcPr>
            <w:tcW w:w="4252" w:type="dxa"/>
            <w:shd w:val="clear" w:color="auto" w:fill="FFFFFF"/>
          </w:tcPr>
          <w:p w:rsidR="00867566" w:rsidRPr="0095482E" w:rsidRDefault="00867566" w:rsidP="0095482E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95482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867566" w:rsidRPr="00F5648F" w:rsidTr="00A208A2">
        <w:trPr>
          <w:trHeight w:val="415"/>
        </w:trPr>
        <w:tc>
          <w:tcPr>
            <w:tcW w:w="2660" w:type="dxa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92439">
              <w:rPr>
                <w:rFonts w:asciiTheme="majorHAnsi" w:hAnsiTheme="majorHAnsi"/>
                <w:b/>
                <w:sz w:val="24"/>
                <w:szCs w:val="24"/>
              </w:rPr>
              <w:t xml:space="preserve">Førstehjælp </w:t>
            </w:r>
          </w:p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92439">
              <w:rPr>
                <w:rFonts w:asciiTheme="majorHAnsi" w:hAnsiTheme="majorHAnsi"/>
                <w:b/>
                <w:i/>
                <w:sz w:val="24"/>
                <w:szCs w:val="24"/>
              </w:rPr>
              <w:t>(Undervisning varetages af UCC)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67566" w:rsidRPr="00C92439" w:rsidRDefault="00867566" w:rsidP="00F56FD9">
            <w:pPr>
              <w:spacing w:before="80" w:after="80" w:line="360" w:lineRule="auto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C92439">
              <w:rPr>
                <w:rFonts w:asciiTheme="majorHAnsi" w:hAnsiTheme="majorHAnsi" w:cs="Tahoma"/>
                <w:b/>
                <w:sz w:val="24"/>
                <w:szCs w:val="24"/>
              </w:rPr>
              <w:t>Udføre grundlæggende førstehjælp</w:t>
            </w:r>
          </w:p>
        </w:tc>
        <w:tc>
          <w:tcPr>
            <w:tcW w:w="4253" w:type="dxa"/>
            <w:gridSpan w:val="2"/>
            <w:shd w:val="clear" w:color="auto" w:fill="FFFFFF"/>
          </w:tcPr>
          <w:p w:rsidR="00867566" w:rsidRPr="00F5648F" w:rsidRDefault="00B27C63" w:rsidP="00F56FD9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da-DK"/>
              </w:rPr>
              <w:t>Det forventes at den studerende har gennemført dette på uddannelsen.</w:t>
            </w:r>
          </w:p>
        </w:tc>
        <w:tc>
          <w:tcPr>
            <w:tcW w:w="4252" w:type="dxa"/>
            <w:shd w:val="clear" w:color="auto" w:fill="FFFFFF"/>
          </w:tcPr>
          <w:p w:rsidR="00867566" w:rsidRPr="00F5648F" w:rsidRDefault="00867566" w:rsidP="00F56FD9">
            <w:pPr>
              <w:spacing w:after="12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Anbefalet litteratur i 2. praktik</w:t>
            </w: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7566" w:rsidRDefault="006E3415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Sørensen, Peter Westergaard (2002): </w:t>
            </w:r>
            <w:r w:rsidR="001422F9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”</w:t>
            </w:r>
            <w:r w:rsidR="00BF1FFB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Fra </w:t>
            </w:r>
            <w:r w:rsidR="00414742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rejseleder til stifinder</w:t>
            </w:r>
            <w:r w:rsidR="001422F9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”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, Forlag: Udvikling. </w:t>
            </w:r>
          </w:p>
          <w:p w:rsidR="00BF1FFB" w:rsidRDefault="001422F9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”Når gode mennesker handler ondt”</w:t>
            </w:r>
            <w:r w:rsidR="00B32F62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–</w:t>
            </w:r>
            <w:r w:rsidR="00797894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Artikel.</w:t>
            </w:r>
          </w:p>
          <w:p w:rsidR="00FE3F02" w:rsidRPr="00FE3F02" w:rsidRDefault="00CA651E" w:rsidP="00F56FD9">
            <w:pPr>
              <w:spacing w:after="0" w:line="360" w:lineRule="auto"/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Nielsen, Alina og </w:t>
            </w:r>
            <w:r w:rsidR="00FE3F02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Rasmussen, Dorte: </w:t>
            </w:r>
            <w:r w:rsidR="001422F9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”Magt i pædagogisk praksis”</w:t>
            </w:r>
            <w:r w:rsidR="00FE3F02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, Socialstyrelsen, s. 1-11.</w:t>
            </w:r>
            <w:r w:rsidR="00FE3F02">
              <w:t xml:space="preserve"> </w:t>
            </w:r>
          </w:p>
          <w:p w:rsidR="00867566" w:rsidRPr="00797894" w:rsidRDefault="00797894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Krogh, Suzanne og Smidt, Søren (2013): </w:t>
            </w:r>
            <w:r w:rsidR="008D0F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”</w:t>
            </w:r>
            <w:r w:rsidR="008D0FAA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Anerkendelse i pædagogisk praksis</w:t>
            </w:r>
            <w:r w:rsidR="008D0F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”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Forlag: Dafolo.</w:t>
            </w:r>
          </w:p>
          <w:p w:rsidR="00B55D6E" w:rsidRPr="0071750E" w:rsidRDefault="00797894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Revstedt, Per (2004): </w:t>
            </w:r>
            <w:r w:rsidR="0071750E" w:rsidRPr="0071750E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”Motivationsarbejde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”, Forlag: Hans Reitzel.</w:t>
            </w:r>
          </w:p>
          <w:p w:rsidR="00867566" w:rsidRDefault="001C09C4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Neuro</w:t>
            </w:r>
            <w:r w:rsidR="00414742" w:rsidRPr="00414742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pædagogik </w:t>
            </w:r>
            <w:r w:rsidR="00414742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 </w:t>
            </w:r>
          </w:p>
          <w:p w:rsidR="00414742" w:rsidRDefault="00414742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Den etiske model </w:t>
            </w:r>
          </w:p>
          <w:p w:rsidR="002C6586" w:rsidRPr="00414742" w:rsidRDefault="00414742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Servicelovens §85</w:t>
            </w: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hAnsiTheme="majorHAnsi"/>
                <w:b/>
                <w:sz w:val="24"/>
                <w:szCs w:val="24"/>
              </w:rPr>
              <w:t>Hvordan er praktikvejledningen organiseret og tilrettelagt?</w:t>
            </w: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67566" w:rsidRDefault="00867566" w:rsidP="0095482E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  <w:p w:rsidR="0095482E" w:rsidRDefault="00846521" w:rsidP="0095482E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 xml:space="preserve">Den studerende har som udgangspunkt vejledning hver 2.uge, 1-2 timer. </w:t>
            </w:r>
          </w:p>
          <w:p w:rsidR="0095482E" w:rsidRPr="00F5648F" w:rsidRDefault="0095482E" w:rsidP="0095482E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  <w:vAlign w:val="center"/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5648F">
              <w:rPr>
                <w:rFonts w:asciiTheme="majorHAnsi" w:hAnsiTheme="majorHAnsi"/>
                <w:b/>
                <w:sz w:val="24"/>
                <w:szCs w:val="24"/>
              </w:rPr>
              <w:t>Hvordan inddrages den studerendes portfolio?</w:t>
            </w: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67566" w:rsidRPr="00846521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  <w:p w:rsidR="0095482E" w:rsidRPr="00846521" w:rsidRDefault="00846521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846521"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  <w:t>Den studerendes portfolio inddrages som en fast del af vejledningen idet den indeholder den studerendes refleksioner.</w:t>
            </w:r>
          </w:p>
          <w:p w:rsidR="00867566" w:rsidRPr="00846521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</w:p>
        </w:tc>
      </w:tr>
      <w:tr w:rsidR="00867566" w:rsidRPr="00F5648F" w:rsidTr="00F5648F">
        <w:tc>
          <w:tcPr>
            <w:tcW w:w="13716" w:type="dxa"/>
            <w:gridSpan w:val="5"/>
            <w:shd w:val="clear" w:color="auto" w:fill="B8CCE4" w:themeFill="accent1" w:themeFillTint="66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Udtalelse på baggrund af drøftelserne på 2/3 mødet. Udtalelsen indgår som en del af prøvegrundlaget for prøven i 2. praktik</w:t>
            </w:r>
          </w:p>
        </w:tc>
      </w:tr>
      <w:tr w:rsidR="00867566" w:rsidRPr="00F5648F" w:rsidTr="00F5648F">
        <w:tc>
          <w:tcPr>
            <w:tcW w:w="13716" w:type="dxa"/>
            <w:gridSpan w:val="5"/>
            <w:tcMar>
              <w:top w:w="57" w:type="dxa"/>
              <w:bottom w:w="57" w:type="dxa"/>
            </w:tcMar>
          </w:tcPr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</w:p>
          <w:p w:rsidR="00867566" w:rsidRPr="00F5648F" w:rsidRDefault="00867566" w:rsidP="00F56FD9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</w:pPr>
            <w:r w:rsidRPr="00F56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da-DK"/>
              </w:rPr>
              <w:t>Dato og praktikvejleders navn:</w:t>
            </w:r>
          </w:p>
        </w:tc>
      </w:tr>
    </w:tbl>
    <w:p w:rsidR="00445EE3" w:rsidRDefault="00445EE3" w:rsidP="00525131"/>
    <w:sectPr w:rsidR="00445EE3" w:rsidSect="00913EE2">
      <w:footerReference w:type="even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C6" w:rsidRDefault="004553C6" w:rsidP="00525131">
      <w:pPr>
        <w:spacing w:after="0" w:line="240" w:lineRule="auto"/>
      </w:pPr>
      <w:r>
        <w:separator/>
      </w:r>
    </w:p>
  </w:endnote>
  <w:endnote w:type="continuationSeparator" w:id="0">
    <w:p w:rsidR="004553C6" w:rsidRDefault="004553C6" w:rsidP="0052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A2" w:rsidRDefault="00A208A2" w:rsidP="0041474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208A2" w:rsidRDefault="00A208A2" w:rsidP="0052513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A2" w:rsidRDefault="00A208A2" w:rsidP="0041474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175B9">
      <w:rPr>
        <w:rStyle w:val="Sidetal"/>
        <w:noProof/>
      </w:rPr>
      <w:t>9</w:t>
    </w:r>
    <w:r>
      <w:rPr>
        <w:rStyle w:val="Sidetal"/>
      </w:rPr>
      <w:fldChar w:fldCharType="end"/>
    </w:r>
  </w:p>
  <w:p w:rsidR="00A208A2" w:rsidRDefault="00A208A2" w:rsidP="0052513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C6" w:rsidRDefault="004553C6" w:rsidP="00525131">
      <w:pPr>
        <w:spacing w:after="0" w:line="240" w:lineRule="auto"/>
      </w:pPr>
      <w:r>
        <w:separator/>
      </w:r>
    </w:p>
  </w:footnote>
  <w:footnote w:type="continuationSeparator" w:id="0">
    <w:p w:rsidR="004553C6" w:rsidRDefault="004553C6" w:rsidP="0052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602"/>
    <w:multiLevelType w:val="hybridMultilevel"/>
    <w:tmpl w:val="AB4C366E"/>
    <w:lvl w:ilvl="0" w:tplc="B172D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41E"/>
    <w:multiLevelType w:val="hybridMultilevel"/>
    <w:tmpl w:val="B5C4CC14"/>
    <w:lvl w:ilvl="0" w:tplc="B172D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4C18"/>
    <w:multiLevelType w:val="hybridMultilevel"/>
    <w:tmpl w:val="CF8A6B04"/>
    <w:lvl w:ilvl="0" w:tplc="B172D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7279"/>
    <w:multiLevelType w:val="hybridMultilevel"/>
    <w:tmpl w:val="2A686218"/>
    <w:lvl w:ilvl="0" w:tplc="C4C06BB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1D40"/>
    <w:multiLevelType w:val="hybridMultilevel"/>
    <w:tmpl w:val="C5DC2248"/>
    <w:lvl w:ilvl="0" w:tplc="B172D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E2"/>
    <w:rsid w:val="0001671F"/>
    <w:rsid w:val="00025CAF"/>
    <w:rsid w:val="000B465A"/>
    <w:rsid w:val="00111604"/>
    <w:rsid w:val="001422F9"/>
    <w:rsid w:val="00157B17"/>
    <w:rsid w:val="001C09C4"/>
    <w:rsid w:val="0028350F"/>
    <w:rsid w:val="002C6586"/>
    <w:rsid w:val="002E0B6D"/>
    <w:rsid w:val="002F50B3"/>
    <w:rsid w:val="00340F02"/>
    <w:rsid w:val="00363693"/>
    <w:rsid w:val="00366511"/>
    <w:rsid w:val="00380A45"/>
    <w:rsid w:val="00394577"/>
    <w:rsid w:val="003F7C9C"/>
    <w:rsid w:val="00414742"/>
    <w:rsid w:val="00445EE3"/>
    <w:rsid w:val="004553C6"/>
    <w:rsid w:val="004A5BA2"/>
    <w:rsid w:val="00505D6A"/>
    <w:rsid w:val="005175B9"/>
    <w:rsid w:val="00525131"/>
    <w:rsid w:val="0059012A"/>
    <w:rsid w:val="005A27C8"/>
    <w:rsid w:val="005B6467"/>
    <w:rsid w:val="005C5DDD"/>
    <w:rsid w:val="00605675"/>
    <w:rsid w:val="00632B89"/>
    <w:rsid w:val="0064674E"/>
    <w:rsid w:val="006539C4"/>
    <w:rsid w:val="006B2452"/>
    <w:rsid w:val="006D0612"/>
    <w:rsid w:val="006D413C"/>
    <w:rsid w:val="006E3415"/>
    <w:rsid w:val="006E3E0B"/>
    <w:rsid w:val="00715E5D"/>
    <w:rsid w:val="0071750E"/>
    <w:rsid w:val="00726FD7"/>
    <w:rsid w:val="00763EE5"/>
    <w:rsid w:val="007931D4"/>
    <w:rsid w:val="00797894"/>
    <w:rsid w:val="0083675B"/>
    <w:rsid w:val="00846521"/>
    <w:rsid w:val="00857F9E"/>
    <w:rsid w:val="00867566"/>
    <w:rsid w:val="00894B1D"/>
    <w:rsid w:val="008B1A95"/>
    <w:rsid w:val="008D0FAA"/>
    <w:rsid w:val="0090129C"/>
    <w:rsid w:val="00913EE2"/>
    <w:rsid w:val="0095482E"/>
    <w:rsid w:val="00982488"/>
    <w:rsid w:val="00A01949"/>
    <w:rsid w:val="00A208A2"/>
    <w:rsid w:val="00A41A2A"/>
    <w:rsid w:val="00A94216"/>
    <w:rsid w:val="00AA33D4"/>
    <w:rsid w:val="00AE6EB8"/>
    <w:rsid w:val="00B05771"/>
    <w:rsid w:val="00B27C63"/>
    <w:rsid w:val="00B32F62"/>
    <w:rsid w:val="00B55D6E"/>
    <w:rsid w:val="00B9197B"/>
    <w:rsid w:val="00BB639E"/>
    <w:rsid w:val="00BC1F2F"/>
    <w:rsid w:val="00BC389E"/>
    <w:rsid w:val="00BF1FFB"/>
    <w:rsid w:val="00C31491"/>
    <w:rsid w:val="00C72E3D"/>
    <w:rsid w:val="00C809D9"/>
    <w:rsid w:val="00C92439"/>
    <w:rsid w:val="00CA651E"/>
    <w:rsid w:val="00CD0E61"/>
    <w:rsid w:val="00CF1CEB"/>
    <w:rsid w:val="00D04D49"/>
    <w:rsid w:val="00D33B8D"/>
    <w:rsid w:val="00D517E6"/>
    <w:rsid w:val="00D65F3F"/>
    <w:rsid w:val="00DB3B22"/>
    <w:rsid w:val="00DC44BF"/>
    <w:rsid w:val="00DE3AC2"/>
    <w:rsid w:val="00DE4922"/>
    <w:rsid w:val="00DF6123"/>
    <w:rsid w:val="00E22950"/>
    <w:rsid w:val="00E410E1"/>
    <w:rsid w:val="00E465C7"/>
    <w:rsid w:val="00E53F0E"/>
    <w:rsid w:val="00E5486D"/>
    <w:rsid w:val="00E674BD"/>
    <w:rsid w:val="00EA0CE0"/>
    <w:rsid w:val="00EC0085"/>
    <w:rsid w:val="00ED2046"/>
    <w:rsid w:val="00F0666D"/>
    <w:rsid w:val="00F364AE"/>
    <w:rsid w:val="00F513E8"/>
    <w:rsid w:val="00F5648F"/>
    <w:rsid w:val="00F56FD9"/>
    <w:rsid w:val="00F827A0"/>
    <w:rsid w:val="00F93F62"/>
    <w:rsid w:val="00F94796"/>
    <w:rsid w:val="00FE2EBA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012A"/>
    <w:pPr>
      <w:ind w:left="720"/>
      <w:contextualSpacing/>
    </w:pPr>
  </w:style>
  <w:style w:type="paragraph" w:customStyle="1" w:styleId="Default">
    <w:name w:val="Default"/>
    <w:rsid w:val="00B05771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25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5131"/>
  </w:style>
  <w:style w:type="character" w:styleId="Sidetal">
    <w:name w:val="page number"/>
    <w:basedOn w:val="Standardskrifttypeiafsnit"/>
    <w:uiPriority w:val="99"/>
    <w:semiHidden/>
    <w:unhideWhenUsed/>
    <w:rsid w:val="005251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012A"/>
    <w:pPr>
      <w:ind w:left="720"/>
      <w:contextualSpacing/>
    </w:pPr>
  </w:style>
  <w:style w:type="paragraph" w:customStyle="1" w:styleId="Default">
    <w:name w:val="Default"/>
    <w:rsid w:val="00B05771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25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5131"/>
  </w:style>
  <w:style w:type="character" w:styleId="Sidetal">
    <w:name w:val="page number"/>
    <w:basedOn w:val="Standardskrifttypeiafsnit"/>
    <w:uiPriority w:val="99"/>
    <w:semiHidden/>
    <w:unhideWhenUsed/>
    <w:rsid w:val="005251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A2C-6C6F-4CC7-8EA4-9181B7DC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886217FB</Template>
  <TotalTime>14</TotalTime>
  <Pages>1</Pages>
  <Words>1014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Yilmaz</dc:creator>
  <cp:lastModifiedBy>Eva Schou Frandsen</cp:lastModifiedBy>
  <cp:revision>14</cp:revision>
  <cp:lastPrinted>2018-10-03T12:55:00Z</cp:lastPrinted>
  <dcterms:created xsi:type="dcterms:W3CDTF">2018-10-03T12:50:00Z</dcterms:created>
  <dcterms:modified xsi:type="dcterms:W3CDTF">2018-10-03T13:05:00Z</dcterms:modified>
</cp:coreProperties>
</file>